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DA" w:rsidRDefault="00FB45DA" w:rsidP="00FB45DA">
      <w:pPr>
        <w:pStyle w:val="1"/>
        <w:spacing w:line="240" w:lineRule="auto"/>
        <w:ind w:left="5260" w:firstLine="0"/>
      </w:pPr>
      <w:r>
        <w:t>Приложение 18</w:t>
      </w:r>
    </w:p>
    <w:p w:rsidR="00FB45DA" w:rsidRDefault="00FB45DA" w:rsidP="00FB45DA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FB45DA" w:rsidRDefault="00FB45DA" w:rsidP="00FB45DA">
      <w:pPr>
        <w:spacing w:after="239" w:line="1" w:lineRule="exact"/>
      </w:pPr>
    </w:p>
    <w:p w:rsidR="00FB45DA" w:rsidRDefault="00FB45DA" w:rsidP="00FB45DA">
      <w:pPr>
        <w:pStyle w:val="1"/>
        <w:spacing w:after="880" w:line="240" w:lineRule="auto"/>
        <w:ind w:right="300" w:firstLine="0"/>
        <w:jc w:val="right"/>
      </w:pPr>
      <w:r>
        <w:t>ФОРМА</w:t>
      </w:r>
    </w:p>
    <w:p w:rsidR="00FB45DA" w:rsidRDefault="00FB45DA" w:rsidP="00FB45DA">
      <w:pPr>
        <w:pStyle w:val="1"/>
        <w:spacing w:after="1680" w:line="286" w:lineRule="auto"/>
        <w:ind w:firstLine="0"/>
        <w:jc w:val="center"/>
      </w:pPr>
      <w:r>
        <w:t>Место для</w:t>
      </w:r>
      <w:r>
        <w:br/>
        <w:t>нанесения</w:t>
      </w:r>
      <w:r>
        <w:br/>
        <w:t>QR-кода</w:t>
      </w:r>
    </w:p>
    <w:p w:rsidR="00FB45DA" w:rsidRDefault="00FB45DA" w:rsidP="00FB45DA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FB45DA" w:rsidRDefault="00FB45DA" w:rsidP="00FB45DA">
      <w:pPr>
        <w:pStyle w:val="1"/>
        <w:spacing w:after="24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проведению обязательных предварительных</w:t>
      </w:r>
      <w:r>
        <w:rPr>
          <w:b/>
          <w:bCs/>
        </w:rPr>
        <w:br/>
        <w:t>и периодических медицинских осмотров, психиатрических</w:t>
      </w:r>
      <w:r>
        <w:rPr>
          <w:b/>
          <w:bCs/>
        </w:rPr>
        <w:br/>
        <w:t xml:space="preserve">освидетельствований, обязательных </w:t>
      </w:r>
      <w:proofErr w:type="spellStart"/>
      <w:r>
        <w:rPr>
          <w:b/>
          <w:bCs/>
        </w:rPr>
        <w:t>предсменных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послесменных</w:t>
      </w:r>
      <w:proofErr w:type="spellEnd"/>
      <w:r>
        <w:rPr>
          <w:b/>
          <w:bCs/>
        </w:rPr>
        <w:t>,</w:t>
      </w:r>
      <w:r>
        <w:rPr>
          <w:b/>
          <w:bCs/>
        </w:rPr>
        <w:br/>
      </w:r>
      <w:proofErr w:type="spellStart"/>
      <w:r>
        <w:rPr>
          <w:b/>
          <w:bCs/>
        </w:rPr>
        <w:t>предрейсовых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послерейсовых</w:t>
      </w:r>
      <w:proofErr w:type="spellEnd"/>
      <w:r>
        <w:rPr>
          <w:b/>
          <w:bCs/>
        </w:rPr>
        <w:t xml:space="preserve"> медицинских осмотров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before="120" w:line="240" w:lineRule="auto"/>
              <w:ind w:firstLine="0"/>
              <w:jc w:val="both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tabs>
                <w:tab w:val="left" w:pos="1814"/>
                <w:tab w:val="left" w:pos="3528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B45DA" w:rsidRDefault="00FB45DA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tabs>
                <w:tab w:val="left" w:pos="2237"/>
                <w:tab w:val="left" w:pos="3509"/>
              </w:tabs>
              <w:spacing w:line="233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</w:tbl>
    <w:p w:rsidR="00FB45DA" w:rsidRDefault="00FB45DA" w:rsidP="00FB45DA">
      <w:pPr>
        <w:sectPr w:rsidR="00FB45DA">
          <w:headerReference w:type="default" r:id="rId4"/>
          <w:pgSz w:w="11900" w:h="16840"/>
          <w:pgMar w:top="1221" w:right="509" w:bottom="998" w:left="1456" w:header="793" w:footer="570" w:gutter="0"/>
          <w:pgNumType w:start="30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07"/>
      </w:tblGrid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482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tabs>
                <w:tab w:val="left" w:pos="2616"/>
                <w:tab w:val="left" w:pos="5160"/>
              </w:tabs>
              <w:spacing w:line="240" w:lineRule="auto"/>
              <w:ind w:firstLine="0"/>
              <w:jc w:val="both"/>
            </w:pP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FB45DA" w:rsidRDefault="00FB45DA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FB45DA" w:rsidRDefault="00FB45DA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FB45DA" w:rsidRDefault="00FB45DA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tabs>
                <w:tab w:val="left" w:leader="underscore" w:pos="1723"/>
                <w:tab w:val="left" w:leader="underscore" w:pos="2400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before="100" w:line="240" w:lineRule="auto"/>
              <w:ind w:firstLine="0"/>
            </w:pPr>
            <w:r>
              <w:t>№ от</w:t>
            </w: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</w:tbl>
    <w:p w:rsidR="00FB45DA" w:rsidRDefault="00FB45DA" w:rsidP="00FB45DA">
      <w:pPr>
        <w:spacing w:after="539" w:line="1" w:lineRule="exact"/>
      </w:pPr>
    </w:p>
    <w:p w:rsidR="00FB45DA" w:rsidRDefault="00FB45DA" w:rsidP="00FB45DA">
      <w:pPr>
        <w:pStyle w:val="1"/>
        <w:ind w:firstLine="98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71"/>
        <w:gridCol w:w="2827"/>
        <w:gridCol w:w="566"/>
        <w:gridCol w:w="706"/>
        <w:gridCol w:w="1133"/>
        <w:gridCol w:w="1142"/>
      </w:tblGrid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40" w:lineRule="auto"/>
              <w:ind w:firstLine="140"/>
            </w:pPr>
            <w:r>
              <w:lastRenderedPageBreak/>
              <w:t>№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64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64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5DA" w:rsidRDefault="00FB45DA" w:rsidP="00493BF9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5DA" w:rsidRDefault="00FB45DA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/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260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111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40" w:lineRule="auto"/>
              <w:ind w:firstLine="140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  <w:jc w:val="both"/>
            </w:pPr>
            <w:r>
              <w:t>Работодатель обеспечил организацию проведения за счет собственных средств обязательных предварительных (при поступлении на работу</w:t>
            </w:r>
            <w:proofErr w:type="gramStart"/>
            <w:r>
              <w:t>)и</w:t>
            </w:r>
            <w:proofErr w:type="gramEnd"/>
            <w:r>
              <w:t xml:space="preserve">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</w:t>
            </w:r>
            <w:proofErr w:type="spellStart"/>
            <w:r>
              <w:t>химико</w:t>
            </w:r>
            <w:r>
              <w:softHyphen/>
              <w:t>токсикологических</w:t>
            </w:r>
            <w:proofErr w:type="spellEnd"/>
            <w:r>
              <w:t xml:space="preserve"> исследований наличия в организме человека наркотических средств, психотропных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</w:pPr>
            <w:r>
              <w:t xml:space="preserve">Часть 3 статьи 214, части 1, 8,9 статьи 220 Трудового кодекса Российской Федерации (Собрание законодательства Российской Федерации 2002, № 1, ст. 3; 2021, №27, ст. 5139); </w:t>
            </w:r>
            <w:proofErr w:type="gramStart"/>
            <w:r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утвержденный приказом Минтруда России, Минздрава России от 31.12.2020 № 988н/№ 1420н (зарегистрирован Минюстом России 29.01.2021,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</w:tbl>
    <w:p w:rsidR="00FB45DA" w:rsidRDefault="00FB45DA" w:rsidP="00FB45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971"/>
        <w:gridCol w:w="2827"/>
        <w:gridCol w:w="562"/>
        <w:gridCol w:w="710"/>
        <w:gridCol w:w="1133"/>
        <w:gridCol w:w="1142"/>
      </w:tblGrid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52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</w:pPr>
            <w:r>
              <w:t xml:space="preserve">веществ и их метаболитов </w:t>
            </w:r>
            <w:proofErr w:type="gramStart"/>
            <w:r>
              <w:t>с</w:t>
            </w:r>
            <w:proofErr w:type="gramEnd"/>
          </w:p>
          <w:p w:rsidR="00FB45DA" w:rsidRDefault="00FB45DA" w:rsidP="00493BF9">
            <w:pPr>
              <w:pStyle w:val="a6"/>
              <w:spacing w:line="240" w:lineRule="auto"/>
              <w:ind w:firstLine="0"/>
            </w:pPr>
            <w:r>
              <w:t>сохранением за работниками места работы (должности) и среднего заработка на время прохождения указанных медицинских осмотров, обязательных</w:t>
            </w:r>
          </w:p>
          <w:p w:rsidR="00FB45DA" w:rsidRDefault="00FB45DA" w:rsidP="00493BF9">
            <w:pPr>
              <w:pStyle w:val="a6"/>
              <w:spacing w:line="240" w:lineRule="auto"/>
              <w:ind w:firstLine="0"/>
            </w:pPr>
            <w:r>
              <w:t>психиатрических освидетельствований,</w:t>
            </w:r>
          </w:p>
          <w:p w:rsidR="00FB45DA" w:rsidRDefault="00FB45DA" w:rsidP="00493BF9">
            <w:pPr>
              <w:pStyle w:val="a6"/>
              <w:spacing w:line="240" w:lineRule="auto"/>
              <w:ind w:firstLine="0"/>
            </w:pPr>
            <w:proofErr w:type="spellStart"/>
            <w:r>
              <w:t>химико</w:t>
            </w:r>
            <w:r>
              <w:softHyphen/>
              <w:t>токсикологических</w:t>
            </w:r>
            <w:proofErr w:type="spellEnd"/>
            <w:r>
              <w:t xml:space="preserve"> исследований?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40" w:lineRule="auto"/>
              <w:ind w:firstLine="0"/>
            </w:pPr>
            <w:r>
              <w:t>регистрационный № 62278)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91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pStyle w:val="a6"/>
              <w:spacing w:line="259" w:lineRule="auto"/>
              <w:ind w:firstLine="0"/>
            </w:pPr>
            <w:r>
              <w:t>Наличие у работодателя решений комиссии (в письменной форме) о пригодности (непригодности) работника к выполнению вида деятельности (работы в условиях повышенной опасности), указанного в направлении на психиатрическое освидетельствование?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</w:pPr>
            <w:r>
              <w:t xml:space="preserve">Пункт 9 Правил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утвержденных постановлением Правительства Российской Федерации </w:t>
            </w:r>
            <w:proofErr w:type="gramStart"/>
            <w:r>
              <w:t>от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</w:tbl>
    <w:p w:rsidR="00FB45DA" w:rsidRDefault="00FB45DA" w:rsidP="00FB45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966"/>
        <w:gridCol w:w="2832"/>
        <w:gridCol w:w="562"/>
        <w:gridCol w:w="710"/>
        <w:gridCol w:w="1123"/>
        <w:gridCol w:w="1142"/>
      </w:tblGrid>
      <w:tr w:rsidR="00FB45DA" w:rsidTr="00493BF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45DA" w:rsidRDefault="00FB45DA" w:rsidP="00493BF9">
            <w:pPr>
              <w:pStyle w:val="a6"/>
              <w:spacing w:line="240" w:lineRule="auto"/>
              <w:ind w:firstLine="0"/>
            </w:pPr>
            <w:r>
              <w:t>23.09.2002 № 695 (Собрание законодательства Российской</w:t>
            </w:r>
          </w:p>
          <w:p w:rsidR="00FB45DA" w:rsidRDefault="00FB45DA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39, ст. 3796)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DA" w:rsidRDefault="00FB45DA" w:rsidP="00493BF9">
            <w:pPr>
              <w:rPr>
                <w:sz w:val="10"/>
                <w:szCs w:val="10"/>
              </w:rPr>
            </w:pPr>
          </w:p>
        </w:tc>
      </w:tr>
    </w:tbl>
    <w:p w:rsidR="00FB45DA" w:rsidRDefault="00FB45DA" w:rsidP="00FB45DA">
      <w:pPr>
        <w:sectPr w:rsidR="00FB45DA">
          <w:headerReference w:type="default" r:id="rId5"/>
          <w:pgSz w:w="11900" w:h="16840"/>
          <w:pgMar w:top="1221" w:right="509" w:bottom="998" w:left="1456" w:header="0" w:footer="570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8D21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8D214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4pt;margin-top:37.3pt;width:4.3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8D2149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B45D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B45DA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2149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5DA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5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FB45DA"/>
    <w:rPr>
      <w:rFonts w:ascii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FB45DA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FB45DA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FB45DA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FB45DA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FB45D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680</Words>
  <Characters>3882</Characters>
  <Application>Microsoft Office Word</Application>
  <DocSecurity>0</DocSecurity>
  <Lines>32</Lines>
  <Paragraphs>9</Paragraphs>
  <ScaleCrop>false</ScaleCrop>
  <Company>Krokoz™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2022-03-01T10:07:00Z</dcterms:created>
  <dcterms:modified xsi:type="dcterms:W3CDTF">2022-03-01T10:15:00Z</dcterms:modified>
</cp:coreProperties>
</file>